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4A0" w:firstRow="1" w:lastRow="0" w:firstColumn="1" w:lastColumn="0" w:noHBand="0" w:noVBand="1"/>
      </w:tblPr>
      <w:tblGrid>
        <w:gridCol w:w="1141"/>
        <w:gridCol w:w="4812"/>
      </w:tblGrid>
      <w:tr w:rsidR="00DF7F46" w:rsidRPr="00DF7F46" w:rsidTr="00DF7F46">
        <w:trPr>
          <w:tblCellSpacing w:w="0" w:type="dxa"/>
          <w:jc w:val="center"/>
        </w:trPr>
        <w:tc>
          <w:tcPr>
            <w:tcW w:w="700" w:type="pct"/>
            <w:vAlign w:val="center"/>
            <w:hideMark/>
          </w:tcPr>
          <w:p w:rsidR="00DF7F46" w:rsidRPr="00DF7F46" w:rsidRDefault="00DF7F46" w:rsidP="00DF7F46">
            <w:pPr>
              <w:spacing w:before="195" w:after="195"/>
              <w:jc w:val="center"/>
              <w:rPr>
                <w:rFonts w:eastAsia="Times New Roman"/>
                <w:sz w:val="24"/>
                <w:szCs w:val="24"/>
                <w:lang w:eastAsia="pt-BR"/>
              </w:rPr>
            </w:pPr>
            <w:r w:rsidRPr="00DF7F46">
              <w:rPr>
                <w:rFonts w:ascii="Arial" w:eastAsia="Times New Roman" w:hAnsi="Arial" w:cs="Arial"/>
                <w:noProof/>
                <w:lang w:eastAsia="pt-BR"/>
              </w:rPr>
              <w:drawing>
                <wp:inline distT="0" distB="0" distL="0" distR="0">
                  <wp:extent cx="724535" cy="783590"/>
                  <wp:effectExtent l="0" t="0" r="0"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4535" cy="783590"/>
                          </a:xfrm>
                          <a:prstGeom prst="rect">
                            <a:avLst/>
                          </a:prstGeom>
                          <a:noFill/>
                          <a:ln>
                            <a:noFill/>
                          </a:ln>
                        </pic:spPr>
                      </pic:pic>
                    </a:graphicData>
                  </a:graphic>
                </wp:inline>
              </w:drawing>
            </w:r>
          </w:p>
        </w:tc>
        <w:tc>
          <w:tcPr>
            <w:tcW w:w="4300" w:type="pct"/>
            <w:vAlign w:val="center"/>
            <w:hideMark/>
          </w:tcPr>
          <w:p w:rsidR="00DF7F46" w:rsidRPr="00DF7F46" w:rsidRDefault="00DF7F46" w:rsidP="00DF7F46">
            <w:pPr>
              <w:spacing w:before="195" w:after="195"/>
              <w:jc w:val="center"/>
              <w:rPr>
                <w:rFonts w:eastAsia="Times New Roman"/>
                <w:sz w:val="24"/>
                <w:szCs w:val="24"/>
                <w:lang w:eastAsia="pt-BR"/>
              </w:rPr>
            </w:pPr>
            <w:r w:rsidRPr="00DF7F46">
              <w:rPr>
                <w:rFonts w:ascii="Arial" w:eastAsia="Times New Roman" w:hAnsi="Arial" w:cs="Arial"/>
                <w:b/>
                <w:bCs/>
                <w:color w:val="808000"/>
                <w:sz w:val="36"/>
                <w:szCs w:val="36"/>
                <w:lang w:eastAsia="pt-BR"/>
              </w:rPr>
              <w:t>Presidência da República</w:t>
            </w:r>
            <w:r w:rsidRPr="00DF7F46">
              <w:rPr>
                <w:rFonts w:ascii="Arial" w:eastAsia="Times New Roman" w:hAnsi="Arial" w:cs="Arial"/>
                <w:b/>
                <w:bCs/>
                <w:color w:val="808000"/>
                <w:sz w:val="24"/>
                <w:szCs w:val="24"/>
                <w:lang w:eastAsia="pt-BR"/>
              </w:rPr>
              <w:br/>
            </w:r>
            <w:r w:rsidRPr="00DF7F46">
              <w:rPr>
                <w:rFonts w:ascii="Arial" w:eastAsia="Times New Roman" w:hAnsi="Arial" w:cs="Arial"/>
                <w:b/>
                <w:bCs/>
                <w:color w:val="808000"/>
                <w:sz w:val="27"/>
                <w:szCs w:val="27"/>
                <w:lang w:eastAsia="pt-BR"/>
              </w:rPr>
              <w:t>Casa Civil</w:t>
            </w:r>
            <w:r w:rsidRPr="00DF7F46">
              <w:rPr>
                <w:rFonts w:ascii="Arial" w:eastAsia="Times New Roman" w:hAnsi="Arial" w:cs="Arial"/>
                <w:b/>
                <w:bCs/>
                <w:color w:val="808000"/>
                <w:sz w:val="27"/>
                <w:szCs w:val="27"/>
                <w:lang w:eastAsia="pt-BR"/>
              </w:rPr>
              <w:br/>
            </w:r>
            <w:r w:rsidRPr="00DF7F46">
              <w:rPr>
                <w:rFonts w:ascii="Arial" w:eastAsia="Times New Roman" w:hAnsi="Arial" w:cs="Arial"/>
                <w:b/>
                <w:bCs/>
                <w:color w:val="808000"/>
                <w:sz w:val="24"/>
                <w:szCs w:val="24"/>
                <w:lang w:eastAsia="pt-BR"/>
              </w:rPr>
              <w:t>Subchefia para Assuntos Jurídicos</w:t>
            </w:r>
          </w:p>
        </w:tc>
      </w:tr>
    </w:tbl>
    <w:p w:rsidR="00DF7F46" w:rsidRPr="00DF7F46" w:rsidRDefault="00DF7F46" w:rsidP="00DF7F46">
      <w:pPr>
        <w:spacing w:before="300" w:after="300"/>
        <w:rPr>
          <w:rFonts w:eastAsia="Times New Roman"/>
          <w:sz w:val="24"/>
          <w:szCs w:val="24"/>
          <w:lang w:eastAsia="pt-BR"/>
        </w:rPr>
      </w:pPr>
      <w:hyperlink r:id="rId5" w:history="1">
        <w:r w:rsidRPr="00DF7F46">
          <w:rPr>
            <w:rFonts w:ascii="Arial" w:eastAsia="Times New Roman" w:hAnsi="Arial" w:cs="Arial"/>
            <w:b/>
            <w:bCs/>
            <w:color w:val="000080"/>
            <w:u w:val="single"/>
            <w:lang w:eastAsia="pt-BR"/>
          </w:rPr>
          <w:t>DECRETO Nº 7.944, DE 6 DE MARÇO DE 2013</w:t>
        </w:r>
      </w:hyperlink>
    </w:p>
    <w:tbl>
      <w:tblPr>
        <w:tblW w:w="5000" w:type="pct"/>
        <w:tblCellSpacing w:w="0" w:type="dxa"/>
        <w:tblCellMar>
          <w:left w:w="0" w:type="dxa"/>
          <w:right w:w="0" w:type="dxa"/>
        </w:tblCellMar>
        <w:tblLook w:val="04A0" w:firstRow="1" w:lastRow="0" w:firstColumn="1" w:lastColumn="0" w:noHBand="0" w:noVBand="1"/>
      </w:tblPr>
      <w:tblGrid>
        <w:gridCol w:w="4167"/>
        <w:gridCol w:w="4337"/>
      </w:tblGrid>
      <w:tr w:rsidR="00DF7F46" w:rsidRPr="00DF7F46" w:rsidTr="00DF7F46">
        <w:trPr>
          <w:tblCellSpacing w:w="0" w:type="dxa"/>
        </w:trPr>
        <w:tc>
          <w:tcPr>
            <w:tcW w:w="2450" w:type="pct"/>
            <w:vAlign w:val="center"/>
            <w:hideMark/>
          </w:tcPr>
          <w:p w:rsidR="00DF7F46" w:rsidRPr="00DF7F46" w:rsidRDefault="00DF7F46" w:rsidP="00DF7F46">
            <w:pPr>
              <w:rPr>
                <w:rFonts w:eastAsia="Times New Roman"/>
                <w:sz w:val="24"/>
                <w:szCs w:val="24"/>
                <w:lang w:eastAsia="pt-BR"/>
              </w:rPr>
            </w:pPr>
            <w:r w:rsidRPr="00DF7F46">
              <w:rPr>
                <w:rFonts w:eastAsia="Times New Roman"/>
                <w:sz w:val="24"/>
                <w:szCs w:val="24"/>
                <w:lang w:eastAsia="pt-BR"/>
              </w:rPr>
              <w:t> </w:t>
            </w:r>
            <w:bookmarkStart w:id="0" w:name="_GoBack"/>
            <w:bookmarkEnd w:id="0"/>
          </w:p>
        </w:tc>
        <w:tc>
          <w:tcPr>
            <w:tcW w:w="2550" w:type="pct"/>
            <w:vAlign w:val="center"/>
            <w:hideMark/>
          </w:tcPr>
          <w:p w:rsidR="00DF7F46" w:rsidRPr="00DF7F46" w:rsidRDefault="00DF7F46" w:rsidP="00DF7F46">
            <w:pPr>
              <w:jc w:val="both"/>
              <w:rPr>
                <w:rFonts w:eastAsia="Times New Roman"/>
                <w:sz w:val="24"/>
                <w:szCs w:val="24"/>
                <w:lang w:eastAsia="pt-BR"/>
              </w:rPr>
            </w:pPr>
            <w:r w:rsidRPr="00DF7F46">
              <w:rPr>
                <w:rFonts w:ascii="Arial" w:eastAsia="Times New Roman" w:hAnsi="Arial" w:cs="Arial"/>
                <w:color w:val="800000"/>
                <w:lang w:eastAsia="pt-BR"/>
              </w:rPr>
              <w:t>Promulga a Convenção n</w:t>
            </w:r>
            <w:r w:rsidRPr="00DF7F46">
              <w:rPr>
                <w:rFonts w:ascii="Arial" w:eastAsia="Times New Roman" w:hAnsi="Arial" w:cs="Arial"/>
                <w:strike/>
                <w:color w:val="800000"/>
                <w:lang w:eastAsia="pt-BR"/>
              </w:rPr>
              <w:t>º</w:t>
            </w:r>
            <w:r w:rsidRPr="00DF7F46">
              <w:rPr>
                <w:rFonts w:ascii="Arial" w:eastAsia="Times New Roman" w:hAnsi="Arial" w:cs="Arial"/>
                <w:color w:val="800000"/>
                <w:lang w:eastAsia="pt-BR"/>
              </w:rPr>
              <w:t xml:space="preserve"> 151 e a Recomendação n</w:t>
            </w:r>
            <w:r w:rsidRPr="00DF7F46">
              <w:rPr>
                <w:rFonts w:ascii="Arial" w:eastAsia="Times New Roman" w:hAnsi="Arial" w:cs="Arial"/>
                <w:strike/>
                <w:color w:val="800000"/>
                <w:lang w:eastAsia="pt-BR"/>
              </w:rPr>
              <w:t>º</w:t>
            </w:r>
            <w:r w:rsidRPr="00DF7F46">
              <w:rPr>
                <w:rFonts w:ascii="Arial" w:eastAsia="Times New Roman" w:hAnsi="Arial" w:cs="Arial"/>
                <w:color w:val="800000"/>
                <w:lang w:eastAsia="pt-BR"/>
              </w:rPr>
              <w:t xml:space="preserve"> 159 da Organização Internacional do Trabalho sobre as Relações de Trabalho na Administração Pública, firmadas em 1978. </w:t>
            </w:r>
          </w:p>
        </w:tc>
      </w:tr>
    </w:tbl>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b/>
          <w:bCs/>
          <w:color w:val="000000"/>
          <w:lang w:eastAsia="pt-BR"/>
        </w:rPr>
        <w:t>A PRESIDENTA DA REPÚBLICA</w:t>
      </w:r>
      <w:r w:rsidRPr="00DF7F46">
        <w:rPr>
          <w:rFonts w:ascii="Arial" w:eastAsia="Times New Roman" w:hAnsi="Arial" w:cs="Arial"/>
          <w:color w:val="000000"/>
          <w:lang w:eastAsia="pt-BR"/>
        </w:rPr>
        <w:t xml:space="preserve">, no uso da atribuição que lhe confere o art. 84, </w:t>
      </w:r>
      <w:r w:rsidRPr="00DF7F46">
        <w:rPr>
          <w:rFonts w:ascii="Arial" w:eastAsia="Times New Roman" w:hAnsi="Arial" w:cs="Arial"/>
          <w:b/>
          <w:bCs/>
          <w:color w:val="000000"/>
          <w:lang w:eastAsia="pt-BR"/>
        </w:rPr>
        <w:t>caput</w:t>
      </w:r>
      <w:r w:rsidRPr="00DF7F46">
        <w:rPr>
          <w:rFonts w:ascii="Arial" w:eastAsia="Times New Roman" w:hAnsi="Arial" w:cs="Arial"/>
          <w:color w:val="000000"/>
          <w:lang w:eastAsia="pt-BR"/>
        </w:rPr>
        <w:t>, inciso IV, da Constituição, e</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que o Congresso Nacional aprovou a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e a Recomendação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159 da Organização Internacional do Trabalho - OIT sobre as Relações de Trabalho na Administração Pública, por meio do Decreto Legislativo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206, de 7 de abril de 2010; </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que o Governo brasileiro depositou o instrumento de ratificação referente à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e à Recomendação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159 junto ao Diretor-Geral da OIT, na qualidade de depositário do ato, em 15 de junho de 2010, tendo, na ocasião, apresentado declaração interpretativa das expressões “pessoas empregadas pelas autoridades públicas” e “organizações de trabalhadores” abrangidas pela Convenção; e</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que a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e a Recomendação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159 entraram em vigor para a República Federativa do Brasil, no plano jurídico externo em 15 de junho de 2011, nos termos do item 3 do Artigo 11 da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b/>
          <w:bCs/>
          <w:color w:val="000000"/>
          <w:lang w:eastAsia="pt-BR"/>
        </w:rPr>
        <w:t>DECRETA:</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Art. 1</w:t>
      </w:r>
      <w:proofErr w:type="gramStart"/>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Ficam</w:t>
      </w:r>
      <w:proofErr w:type="gramEnd"/>
      <w:r w:rsidRPr="00DF7F46">
        <w:rPr>
          <w:rFonts w:ascii="Arial" w:eastAsia="Times New Roman" w:hAnsi="Arial" w:cs="Arial"/>
          <w:color w:val="000000"/>
          <w:lang w:eastAsia="pt-BR"/>
        </w:rPr>
        <w:t xml:space="preserve"> promulgadas a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e a Recomendação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159 da Organização Internacional do Trabalho sobre as Relações de Trabalho na Administração Pública, firmadas em 1978, anexas a este Decreto, com as seguintes declarações interpretativas: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I - a expressão “pessoas empregadas pelas autoridades públicas”, constante do item 1 do Artigo 1 da Convenção n</w:t>
      </w:r>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xml:space="preserve"> 151, abrange tanto os empregados públicos, ingressos na Administração Pública mediante concurso público, regidos pela Consolidação das Leis do Trabalho - CLT, aprovada pelo </w:t>
      </w:r>
      <w:hyperlink r:id="rId6" w:history="1">
        <w:r w:rsidRPr="00DF7F46">
          <w:rPr>
            <w:rFonts w:ascii="Arial" w:eastAsia="Times New Roman" w:hAnsi="Arial" w:cs="Arial"/>
            <w:color w:val="0000FF"/>
            <w:u w:val="single"/>
            <w:lang w:eastAsia="pt-BR"/>
          </w:rPr>
          <w:t>Decreto-Lei n</w:t>
        </w:r>
        <w:r w:rsidRPr="00DF7F46">
          <w:rPr>
            <w:rFonts w:ascii="Arial" w:eastAsia="Times New Roman" w:hAnsi="Arial" w:cs="Arial"/>
            <w:color w:val="0000FF"/>
            <w:u w:val="single"/>
            <w:vertAlign w:val="superscript"/>
            <w:lang w:eastAsia="pt-BR"/>
          </w:rPr>
          <w:t>o</w:t>
        </w:r>
        <w:r w:rsidRPr="00DF7F46">
          <w:rPr>
            <w:rFonts w:ascii="Arial" w:eastAsia="Times New Roman" w:hAnsi="Arial" w:cs="Arial"/>
            <w:color w:val="0000FF"/>
            <w:u w:val="single"/>
            <w:lang w:eastAsia="pt-BR"/>
          </w:rPr>
          <w:t xml:space="preserve"> 5.452, de 1</w:t>
        </w:r>
        <w:r w:rsidRPr="00DF7F46">
          <w:rPr>
            <w:rFonts w:ascii="Arial" w:eastAsia="Times New Roman" w:hAnsi="Arial" w:cs="Arial"/>
            <w:color w:val="0000FF"/>
            <w:u w:val="single"/>
            <w:vertAlign w:val="superscript"/>
            <w:lang w:eastAsia="pt-BR"/>
          </w:rPr>
          <w:t>o</w:t>
        </w:r>
        <w:r w:rsidRPr="00DF7F46">
          <w:rPr>
            <w:rFonts w:ascii="Arial" w:eastAsia="Times New Roman" w:hAnsi="Arial" w:cs="Arial"/>
            <w:color w:val="0000FF"/>
            <w:u w:val="single"/>
            <w:lang w:eastAsia="pt-BR"/>
          </w:rPr>
          <w:t xml:space="preserve"> de maio de 1943</w:t>
        </w:r>
      </w:hyperlink>
      <w:r w:rsidRPr="00DF7F46">
        <w:rPr>
          <w:rFonts w:ascii="Arial" w:eastAsia="Times New Roman" w:hAnsi="Arial" w:cs="Arial"/>
          <w:color w:val="000000"/>
          <w:lang w:eastAsia="pt-BR"/>
        </w:rPr>
        <w:t xml:space="preserve">, quanto os servidores públicos no plano federal, regidos pela </w:t>
      </w:r>
      <w:hyperlink r:id="rId7" w:history="1">
        <w:r w:rsidRPr="00DF7F46">
          <w:rPr>
            <w:rFonts w:ascii="Arial" w:eastAsia="Times New Roman" w:hAnsi="Arial" w:cs="Arial"/>
            <w:color w:val="0000FF"/>
            <w:u w:val="single"/>
            <w:lang w:eastAsia="pt-BR"/>
          </w:rPr>
          <w:t>Lei n</w:t>
        </w:r>
        <w:r w:rsidRPr="00DF7F46">
          <w:rPr>
            <w:rFonts w:ascii="Arial" w:eastAsia="Times New Roman" w:hAnsi="Arial" w:cs="Arial"/>
            <w:color w:val="0000FF"/>
            <w:u w:val="single"/>
            <w:vertAlign w:val="superscript"/>
            <w:lang w:eastAsia="pt-BR"/>
          </w:rPr>
          <w:t>o</w:t>
        </w:r>
        <w:r w:rsidRPr="00DF7F46">
          <w:rPr>
            <w:rFonts w:ascii="Arial" w:eastAsia="Times New Roman" w:hAnsi="Arial" w:cs="Arial"/>
            <w:color w:val="0000FF"/>
            <w:u w:val="single"/>
            <w:lang w:eastAsia="pt-BR"/>
          </w:rPr>
          <w:t xml:space="preserve"> 8.112, de 11 de dezembro de 1990</w:t>
        </w:r>
      </w:hyperlink>
      <w:r w:rsidRPr="00DF7F46">
        <w:rPr>
          <w:rFonts w:ascii="Arial" w:eastAsia="Times New Roman" w:hAnsi="Arial" w:cs="Arial"/>
          <w:color w:val="000000"/>
          <w:lang w:eastAsia="pt-BR"/>
        </w:rPr>
        <w:t>, e os servidores públicos nos âmbitos estadual e municipal, regidos pela legislação específica de cada um desses entes federativos; e</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II - consideram-se "organizações de trabalhadores” abrangidas pela Convenção apenas as organizações constituídas nos termos do </w:t>
      </w:r>
      <w:hyperlink r:id="rId8" w:anchor="art8" w:history="1">
        <w:r w:rsidRPr="00DF7F46">
          <w:rPr>
            <w:rFonts w:ascii="Arial" w:eastAsia="Times New Roman" w:hAnsi="Arial" w:cs="Arial"/>
            <w:color w:val="0000FF"/>
            <w:u w:val="single"/>
            <w:lang w:eastAsia="pt-BR"/>
          </w:rPr>
          <w:t>art. 8º da Constituição</w:t>
        </w:r>
      </w:hyperlink>
      <w:r w:rsidRPr="00DF7F46">
        <w:rPr>
          <w:rFonts w:ascii="Arial" w:eastAsia="Times New Roman" w:hAnsi="Arial" w:cs="Arial"/>
          <w:color w:val="000000"/>
          <w:lang w:eastAsia="pt-BR"/>
        </w:rPr>
        <w:t>.</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Art. 2</w:t>
      </w:r>
      <w:proofErr w:type="gramStart"/>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São</w:t>
      </w:r>
      <w:proofErr w:type="gramEnd"/>
      <w:r w:rsidRPr="00DF7F46">
        <w:rPr>
          <w:rFonts w:ascii="Arial" w:eastAsia="Times New Roman" w:hAnsi="Arial" w:cs="Arial"/>
          <w:color w:val="000000"/>
          <w:lang w:eastAsia="pt-BR"/>
        </w:rPr>
        <w:t xml:space="preserve"> sujeitos à aprovação do Congresso Nacional atos que possam resultar em revisão das referidas Convenção e Recomendação e ajustes complementares que acarretem encargos ou compromissos gravosos ao patrimônio nacional, nos termos do </w:t>
      </w:r>
      <w:hyperlink r:id="rId9" w:anchor="art49i" w:history="1">
        <w:r w:rsidRPr="00DF7F46">
          <w:rPr>
            <w:rFonts w:ascii="Arial" w:eastAsia="Times New Roman" w:hAnsi="Arial" w:cs="Arial"/>
            <w:color w:val="0000FF"/>
            <w:u w:val="single"/>
            <w:lang w:eastAsia="pt-BR"/>
          </w:rPr>
          <w:t xml:space="preserve">inciso I do </w:t>
        </w:r>
        <w:r w:rsidRPr="00DF7F46">
          <w:rPr>
            <w:rFonts w:ascii="Arial" w:eastAsia="Times New Roman" w:hAnsi="Arial" w:cs="Arial"/>
            <w:b/>
            <w:bCs/>
            <w:color w:val="0000FF"/>
            <w:u w:val="single"/>
            <w:lang w:eastAsia="pt-BR"/>
          </w:rPr>
          <w:t xml:space="preserve">caput </w:t>
        </w:r>
        <w:r w:rsidRPr="00DF7F46">
          <w:rPr>
            <w:rFonts w:ascii="Arial" w:eastAsia="Times New Roman" w:hAnsi="Arial" w:cs="Arial"/>
            <w:color w:val="0000FF"/>
            <w:u w:val="single"/>
            <w:lang w:eastAsia="pt-BR"/>
          </w:rPr>
          <w:t>do art. 49 da Constituição</w:t>
        </w:r>
      </w:hyperlink>
      <w:r w:rsidRPr="00DF7F46">
        <w:rPr>
          <w:rFonts w:ascii="Arial" w:eastAsia="Times New Roman" w:hAnsi="Arial" w:cs="Arial"/>
          <w:color w:val="000000"/>
          <w:lang w:eastAsia="pt-BR"/>
        </w:rPr>
        <w:t>.</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Art. 3</w:t>
      </w:r>
      <w:proofErr w:type="gramStart"/>
      <w:r w:rsidRPr="00DF7F46">
        <w:rPr>
          <w:rFonts w:ascii="Arial" w:eastAsia="Times New Roman" w:hAnsi="Arial" w:cs="Arial"/>
          <w:color w:val="000000"/>
          <w:u w:val="single"/>
          <w:vertAlign w:val="superscript"/>
          <w:lang w:eastAsia="pt-BR"/>
        </w:rPr>
        <w:t>o</w:t>
      </w:r>
      <w:r w:rsidRPr="00DF7F46">
        <w:rPr>
          <w:rFonts w:ascii="Arial" w:eastAsia="Times New Roman" w:hAnsi="Arial" w:cs="Arial"/>
          <w:color w:val="000000"/>
          <w:lang w:eastAsia="pt-BR"/>
        </w:rPr>
        <w:t>  Este</w:t>
      </w:r>
      <w:proofErr w:type="gramEnd"/>
      <w:r w:rsidRPr="00DF7F46">
        <w:rPr>
          <w:rFonts w:ascii="Arial" w:eastAsia="Times New Roman" w:hAnsi="Arial" w:cs="Arial"/>
          <w:color w:val="000000"/>
          <w:lang w:eastAsia="pt-BR"/>
        </w:rPr>
        <w:t xml:space="preserve"> Decreto entra em vigor na data de sua publicação.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lastRenderedPageBreak/>
        <w:t>Brasília, 6 de março de 2013; 192</w:t>
      </w:r>
      <w:r w:rsidRPr="00DF7F46">
        <w:rPr>
          <w:rFonts w:ascii="Arial" w:eastAsia="Times New Roman" w:hAnsi="Arial" w:cs="Arial"/>
          <w:strike/>
          <w:color w:val="000000"/>
          <w:lang w:eastAsia="pt-BR"/>
        </w:rPr>
        <w:t>º</w:t>
      </w:r>
      <w:r w:rsidRPr="00DF7F46">
        <w:rPr>
          <w:rFonts w:ascii="Arial" w:eastAsia="Times New Roman" w:hAnsi="Arial" w:cs="Arial"/>
          <w:color w:val="000000"/>
          <w:lang w:eastAsia="pt-BR"/>
        </w:rPr>
        <w:t xml:space="preserve"> da Independência e 125</w:t>
      </w:r>
      <w:r w:rsidRPr="00DF7F46">
        <w:rPr>
          <w:rFonts w:ascii="Arial" w:eastAsia="Times New Roman" w:hAnsi="Arial" w:cs="Arial"/>
          <w:strike/>
          <w:color w:val="000000"/>
          <w:lang w:eastAsia="pt-BR"/>
        </w:rPr>
        <w:t>º</w:t>
      </w:r>
      <w:r w:rsidRPr="00DF7F46">
        <w:rPr>
          <w:rFonts w:ascii="Arial" w:eastAsia="Times New Roman" w:hAnsi="Arial" w:cs="Arial"/>
          <w:color w:val="000000"/>
          <w:lang w:eastAsia="pt-BR"/>
        </w:rPr>
        <w:t xml:space="preserve"> da República.</w:t>
      </w:r>
    </w:p>
    <w:p w:rsidR="00DF7F46" w:rsidRPr="00DF7F46" w:rsidRDefault="00DF7F46" w:rsidP="00DF7F46">
      <w:pPr>
        <w:spacing w:before="100" w:beforeAutospacing="1"/>
        <w:jc w:val="both"/>
        <w:rPr>
          <w:rFonts w:eastAsia="Times New Roman"/>
          <w:sz w:val="24"/>
          <w:szCs w:val="24"/>
          <w:lang w:eastAsia="pt-BR"/>
        </w:rPr>
      </w:pPr>
      <w:r w:rsidRPr="00DF7F46">
        <w:rPr>
          <w:rFonts w:ascii="Arial" w:eastAsia="Times New Roman" w:hAnsi="Arial" w:cs="Arial"/>
          <w:color w:val="000000"/>
          <w:lang w:eastAsia="pt-BR"/>
        </w:rPr>
        <w:t>DILMA ROUSSEFF</w:t>
      </w:r>
      <w:r w:rsidRPr="00DF7F46">
        <w:rPr>
          <w:rFonts w:ascii="Arial" w:eastAsia="Times New Roman" w:hAnsi="Arial" w:cs="Arial"/>
          <w:color w:val="000000"/>
          <w:lang w:eastAsia="pt-BR"/>
        </w:rPr>
        <w:br/>
      </w:r>
      <w:proofErr w:type="spellStart"/>
      <w:r w:rsidRPr="00DF7F46">
        <w:rPr>
          <w:rFonts w:ascii="Arial" w:eastAsia="Times New Roman" w:hAnsi="Arial" w:cs="Arial"/>
          <w:i/>
          <w:iCs/>
          <w:color w:val="000000"/>
          <w:lang w:eastAsia="pt-BR"/>
        </w:rPr>
        <w:t>Antonio</w:t>
      </w:r>
      <w:proofErr w:type="spellEnd"/>
      <w:r w:rsidRPr="00DF7F46">
        <w:rPr>
          <w:rFonts w:ascii="Arial" w:eastAsia="Times New Roman" w:hAnsi="Arial" w:cs="Arial"/>
          <w:i/>
          <w:iCs/>
          <w:color w:val="000000"/>
          <w:lang w:eastAsia="pt-BR"/>
        </w:rPr>
        <w:t xml:space="preserve"> de Aguiar Patriota</w:t>
      </w:r>
      <w:r w:rsidRPr="00DF7F46">
        <w:rPr>
          <w:rFonts w:ascii="Arial" w:eastAsia="Times New Roman" w:hAnsi="Arial" w:cs="Arial"/>
          <w:i/>
          <w:iCs/>
          <w:color w:val="000000"/>
          <w:lang w:eastAsia="pt-BR"/>
        </w:rPr>
        <w:br/>
        <w:t xml:space="preserve">Carlos </w:t>
      </w:r>
      <w:proofErr w:type="spellStart"/>
      <w:r w:rsidRPr="00DF7F46">
        <w:rPr>
          <w:rFonts w:ascii="Arial" w:eastAsia="Times New Roman" w:hAnsi="Arial" w:cs="Arial"/>
          <w:i/>
          <w:iCs/>
          <w:color w:val="000000"/>
          <w:lang w:eastAsia="pt-BR"/>
        </w:rPr>
        <w:t>Daudt</w:t>
      </w:r>
      <w:proofErr w:type="spellEnd"/>
      <w:r w:rsidRPr="00DF7F46">
        <w:rPr>
          <w:rFonts w:ascii="Arial" w:eastAsia="Times New Roman" w:hAnsi="Arial" w:cs="Arial"/>
          <w:i/>
          <w:iCs/>
          <w:color w:val="000000"/>
          <w:lang w:eastAsia="pt-BR"/>
        </w:rPr>
        <w:t xml:space="preserve"> Brizola</w:t>
      </w:r>
      <w:r w:rsidRPr="00DF7F46">
        <w:rPr>
          <w:rFonts w:ascii="Arial" w:eastAsia="Times New Roman" w:hAnsi="Arial" w:cs="Arial"/>
          <w:i/>
          <w:iCs/>
          <w:color w:val="000000"/>
          <w:lang w:eastAsia="pt-BR"/>
        </w:rPr>
        <w:br/>
        <w:t>Miriam Belchior</w:t>
      </w:r>
    </w:p>
    <w:p w:rsidR="00DF7F46" w:rsidRPr="00DF7F46" w:rsidRDefault="00DF7F46" w:rsidP="00DF7F46">
      <w:pPr>
        <w:spacing w:before="300" w:after="300"/>
        <w:jc w:val="both"/>
        <w:rPr>
          <w:rFonts w:eastAsia="Times New Roman"/>
          <w:sz w:val="24"/>
          <w:szCs w:val="24"/>
          <w:lang w:eastAsia="pt-BR"/>
        </w:rPr>
      </w:pPr>
      <w:r w:rsidRPr="00DF7F46">
        <w:rPr>
          <w:rFonts w:ascii="Arial" w:eastAsia="Times New Roman" w:hAnsi="Arial" w:cs="Arial"/>
          <w:color w:val="FF0000"/>
          <w:lang w:eastAsia="pt-BR"/>
        </w:rPr>
        <w:t>Este texto não substitui o publicado no DOU de 7.3.2013</w:t>
      </w:r>
      <w:r w:rsidRPr="00DF7F46">
        <w:rPr>
          <w:rFonts w:ascii="Arial" w:eastAsia="Times New Roman" w:hAnsi="Arial" w:cs="Arial"/>
          <w:color w:val="000000"/>
          <w:lang w:eastAsia="pt-BR"/>
        </w:rPr>
        <w:t> </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CONVENÇÃO N</w:t>
      </w:r>
      <w:r w:rsidRPr="00DF7F46">
        <w:rPr>
          <w:rFonts w:ascii="Arial" w:eastAsia="Times New Roman" w:hAnsi="Arial" w:cs="Arial"/>
          <w:strike/>
          <w:color w:val="000000"/>
          <w:lang w:eastAsia="pt-BR"/>
        </w:rPr>
        <w:t>º</w:t>
      </w:r>
      <w:r w:rsidRPr="00DF7F46">
        <w:rPr>
          <w:rFonts w:ascii="Arial" w:eastAsia="Times New Roman" w:hAnsi="Arial" w:cs="Arial"/>
          <w:color w:val="000000"/>
          <w:lang w:eastAsia="pt-BR"/>
        </w:rPr>
        <w:t xml:space="preserve"> 151 SOBRE AS RELAÇÕES DE TRABALHO NA ADMINISTRAÇÃO PÚBLICA, 1978</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 Conferência Geral da Organização Internacional do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Convocada em Genebra pelo Conselho de Administração da Repartição Internacional do Trabalho, reunida em 7 de junho de 1978, na sua 64ª sessão;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as disposições da Convenção Relativa à Liberdade Sindical e à Proteção do Direito de Sindicalização, 1948, da Convenção Relativa ao Direito de Organização e Negociação Coletiva, 1949, e da Convenção e da Recomendação Relativas aos Representantes dos Trabalhadores, 1971;</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Recordando que a Convenção Relativa ao Direito de Organização e Negociação Coletiva, 1949, não abrange determinadas categorias de trabalhadores da Administração Pública e que a Convenção e a Recomendação sobre os Representantes dos Trabalhadores, 1971, se aplicam aos representantes dos trabalhadores no ambiente de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a notável expansão das atividades da Administração Pública em muitos países e a necessidade de relações de trabalho harmoniosas entre as autoridades públicas e as organizações de trabalhadores da Administração Pública;</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Verificando a grande diversidade dos sistemas políticos, sociais e econômicos dos Estados Membros, assim como a das respectivas práticas (por exemplo, no que se refere às funções respectivas dos governos centrais e locais, às das autoridades federais, estaduais e provinciais, bem como às das empresas que são propriedade pública e dos diversos tipos de organismos públicos autônomos ou </w:t>
      </w:r>
      <w:proofErr w:type="spellStart"/>
      <w:r w:rsidRPr="00DF7F46">
        <w:rPr>
          <w:rFonts w:ascii="Arial" w:eastAsia="Times New Roman" w:hAnsi="Arial" w:cs="Arial"/>
          <w:color w:val="000000"/>
          <w:lang w:eastAsia="pt-BR"/>
        </w:rPr>
        <w:t>semi-autônomos</w:t>
      </w:r>
      <w:proofErr w:type="spellEnd"/>
      <w:r w:rsidRPr="00DF7F46">
        <w:rPr>
          <w:rFonts w:ascii="Arial" w:eastAsia="Times New Roman" w:hAnsi="Arial" w:cs="Arial"/>
          <w:color w:val="000000"/>
          <w:lang w:eastAsia="pt-BR"/>
        </w:rPr>
        <w:t>, ou ainda no que diz respeito à natureza das relações de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Considerando os problemas específicos levantados pela delimitação da esfera de aplicação de um instrumento internacional e pela adoção de definições para efeitos deste instrumento, em virtude das diferenças existentes em numerosos países entre o trabalho no setor público e no setor privado, assim como as dificuldades de interpretação que surgiram a respeito da aplicação aos funcionários públicos das pertinentes disposições da Convenção Relativa ao Direito de Organização e Negociação Coletiva, 1949, e as observações através das quais os órgãos de controle da OIT chamaram repetidas vezes a atenção para o fato de certos Governos aplicarem essas disposições de modo a excluir grandes grupos de trabalhadores da Administração Pública da esfera de aplicação daquela Convenção;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Após ter decidido adotar diversas propostas relativas à liberdade sindical e aos processos de fixação das condições de trabalho na Administração Pública, questão que constitui o quinto ponto da ordem do dia da sessão;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Após ter decidido que essas propostas tomariam a forma de uma convenção internacional;</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Adota, no dia 27 de junho de 1978, a seguinte Convenção, que será denominada Convenção sobre as Relações de Trabalho na Administração Pública, 1978:</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lastRenderedPageBreak/>
        <w:t>PARTE I - ÂMBITO DE APLICAÇÃO E DEFINIÇÕES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A presente Convenção aplica-se a todas as pessoas empregadas pelas autoridades públicas, na medida em que não lhes sejam aplicáveis disposições mais favoráveis de outras convenções internacionais do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 legislação nacional determinará o modo pelo qual as garantias previstas pela presente Convenção se aplicarão aos trabalhadores da Administração Pública de alto nível, cujas funções são normalmente consideradas de formulação de políticas ou de direção ou aos trabalhadores da Administração Pública cujas responsabilidades tenham um caráter altamente confidencial.</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3. A legislação nacional determinará o modo pelo qual as garantias previstas pela presente Convenção se aplicarão às forças armadas e à polícia.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2</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Para os efeitos da presente Convenção, a expressão “trabalhadores da Administração Pública” designa toda e qualquer pessoa a que se aplique esta Convenção, nos termos do seu Artigo 1</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3</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Para os efeitos da presente Convenção, a expressão “organização de trabalhadores da Administração Pública” designa toda a organização, qualquer que seja a sua composição, que tenha por fim promover e defender os interesses dos trabalhadores da Administração Pública.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II - PROTEÇÃO DO DIREITO DE ORGANIZAÇÃO</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4</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Os trabalhadores da Administração Pública devem usufruir de uma proteção adequada contra todos os atos de discriminação que acarretem violação da liberdade sindical em matéria de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Essa proteção deve aplicar-se, particularmente, em relação aos atos que tenham por fim:</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 Subordinar o emprego de um trabalhador da Administração Pública à condição de este não se filiar a uma organização de trabalhadores da Administração Pública ou deixar de fazer parte dessa organização;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b) Demitir um trabalhador da Administração Pública ou prejudicá-lo por quaisquer outros meios, devido à sua filiação a uma organização de trabalhadores da Administração Pública ou à sua participação nas atividades normais dessa organização.</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5</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As organizações de trabalhadores da Administração Pública devem usufruir de completa independência das autoridades públicas.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As organizações de trabalhadores da Administração Pública devem usufruir de uma proteção adequada contra todos os atos de ingerência das autoridades públicas em sua formação, funcionamento e administração.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lastRenderedPageBreak/>
        <w:t>3. São particularmente considerados atos de ingerência, no sentido do presente Artigo, todas as medidas tendentes a promover a criação de organizações de trabalhadores da Administração Pública dominadas por uma autoridade pública ou a apoiar organizações de trabalhadores da Administração Pública por meios financeiros ou quaisquer outros, com o objetivo de submeter essas organizações ao controle de uma autoridade pública.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III - GARANTIAS A SEREM CONCEDIDAS ÀS ORGANIZAÇÕES DE TRABALHADORES DA ADMINISTRAÇÃO PÚBLICA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6</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Devem ser concedidas garantias aos representantes das organizações reconhecidas de trabalhadores da Administração Pública, de modo a permitir-lhes cumprir rápida e eficientemente as suas funções, quer durante as suas horas de trabalho, quer fora delas.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 concessão dessas garantias não deve prejudicar o funcionamento eficiente da Administração ou do serviço interessado.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3. A natureza e a amplitude dessas garantias devem ser fixadas de acordo com os métodos mencionados no Artigo 7 da presente Convenção ou por quaisquer outros meios adequados.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IV - PROCEDIMENTOS PARA FIXAÇÃO DAS CONDIÇÕES DE TRABALHO</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7</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Devem ser tomadas, quando necessário, medidas adequadas às condições nacionais para encorajar e promover o desenvolvimento e utilização plenos de mecanismos que permitam a negociação das condições de trabalho entre as autoridades públicas interessadas e as organizações de trabalhadores da Administração Pública ou de qualquer outro meio que permita aos representantes dos trabalhadores da Administração Pública participarem na fixação das referidas condições.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V - SOLUÇÃO DE CONFLITOS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8</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A solução de conflitos surgidos em razão da fixação das condições de trabalho será buscada de maneira adequada às condições nacionais, por meio da negociação entre as partes interessadas ou por mecanismos que </w:t>
      </w:r>
      <w:proofErr w:type="spellStart"/>
      <w:r w:rsidRPr="00DF7F46">
        <w:rPr>
          <w:rFonts w:ascii="Arial" w:eastAsia="Times New Roman" w:hAnsi="Arial" w:cs="Arial"/>
          <w:color w:val="000000"/>
          <w:lang w:eastAsia="pt-BR"/>
        </w:rPr>
        <w:t>dêem</w:t>
      </w:r>
      <w:proofErr w:type="spellEnd"/>
      <w:r w:rsidRPr="00DF7F46">
        <w:rPr>
          <w:rFonts w:ascii="Arial" w:eastAsia="Times New Roman" w:hAnsi="Arial" w:cs="Arial"/>
          <w:color w:val="000000"/>
          <w:lang w:eastAsia="pt-BR"/>
        </w:rPr>
        <w:t xml:space="preserve"> garantias de independência e imparcialidade, tais como a mediação, a conciliação ou a arbitragem, instituídos de modo que inspirem confiança às partes interessadas.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VI - DIREITOS CIVIS E POLÍTICOS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9</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Os trabalhadores da Administração Pública devem usufruir, como os outros trabalhadores, dos direitos civis e políticos que são essenciais ao exercício normal da liberdade sindical, com a única reserva das obrigações referentes ao seu estatuto e à natureza das funções que exercem.</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PARTE VII - DISPOSIÇÕES FINAIS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10</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lastRenderedPageBreak/>
        <w:t>As ratificações formais da presente Convenção serão comunicadas ao Diretor-Geral da Repartição Internacional do Trabalho para registro.</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11</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A presente Convenção obriga apenas os membros da Organização Internacional do Trabalho cuja ratificação tiver sido registrada junto ao Diretor-Geral.</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 Convenção entrará em vigor doze meses após a data em que as ratificações de dois membros forem registradas junto ao Diretor-Geral.</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3. Em seguida, esta Convenção entrará em vigor para cada membro doze meses após a data em que a sua ratificação tiver sido registrada.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12</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Qualquer membro que tiver ratificado a presente Convenção pode denunciá-la, decorrido um período de dez anos após a data inicial de entrada em vigor da Convenção, por comunicação, para seu registro, ao Diretor-Geral da Repartição Internacional do Trabalho. A denúncia apenas produzirá efeito um ano depois de ter sido registrada.</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Qualquer membro que tiver ratificado a presente Convenção e que, no prazo de um ano após ter expirado o período de dez anos mencionado no Parágrafo anterior, não fizer uso da faculdade de denúncia prevista pelo presente Artigo ficará obrigado por um novo período de dez anos e, posteriormente, poderá denunciar a presente Convenção ao final de cada período de dez anos, nas condições previstas no presente Artigo.</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13</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O Diretor-Geral da Repartição Internacional do Trabalho notificará todos os membros da Organização Internacional do Trabalho do registro de todas as ratificações e denúncias que lhe forem comunicadas pelos membros da Organização.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Ao notificar os membros da Organização do registro da segunda ratificação que lhe tiver sido comunicada, o Diretor-Geral chamará a atenção dos membros da Organização para a data em que a presente Convenção entrará em vigor.</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14</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O Diretor-Geral da Repartição Internacional do Trabalho comunicará ao Secretário-Geral das Nações Unidas, para efeitos de registro, de acordo com o Artigo 102 da Carta das Nações Unidas, informações completas sobre todas as ratificações e atos de denúncia que tiver registrado de acordo com os Artigos anteriores.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15</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Sempre que o considere necessário, o Conselho de Administração da Repartição Internacional do Trabalho apresentará à Conferência Geral um relatório sobre a aplicação da presente Convenção e examinará a oportunidade de inscrever na ordem do dia da Conferência a questão da sua revisão total ou parcial.</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16</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No caso de a Conferência adotar uma nova convenção que reveja total ou parcialmente a presente Convenção, e salvo disposição em contrário da nova Convenção: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lastRenderedPageBreak/>
        <w:t>a) A ratificação, por um membro, da nova Convenção revista acarretará, de pleno direito, não obstante o disposto no Artigo 12, a denúncia imediata da presente Convenção, desde que a nova convenção revista tenha entrado em vigor;</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b) A partir da data da entrada em vigor da nova convenção revista a presente Convenção deixará de estar aberta à ratificação dos Membros.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2. A presente Convenção permanecerá em todo o caso em vigor, na sua forma e conteúdo, para os membros que a tiverem ratificado e que não ratificarem a Convenção revista.</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Artigo 17</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As versões francesa e inglesa do texto da presente Convenção são igualmente autênticas.</w:t>
      </w:r>
    </w:p>
    <w:p w:rsidR="00DF7F46" w:rsidRPr="00DF7F46" w:rsidRDefault="00DF7F46" w:rsidP="00DF7F46">
      <w:pPr>
        <w:spacing w:before="300" w:after="300"/>
        <w:rPr>
          <w:rFonts w:eastAsia="Times New Roman"/>
          <w:sz w:val="24"/>
          <w:szCs w:val="24"/>
          <w:lang w:eastAsia="pt-BR"/>
        </w:rPr>
      </w:pPr>
      <w:r w:rsidRPr="00DF7F46">
        <w:rPr>
          <w:rFonts w:ascii="Arial" w:eastAsia="Times New Roman" w:hAnsi="Arial" w:cs="Arial"/>
          <w:color w:val="000000"/>
          <w:lang w:eastAsia="pt-BR"/>
        </w:rPr>
        <w:t>RECOMENDAÇÃO N</w:t>
      </w:r>
      <w:r w:rsidRPr="00DF7F46">
        <w:rPr>
          <w:rFonts w:ascii="Arial" w:eastAsia="Times New Roman" w:hAnsi="Arial" w:cs="Arial"/>
          <w:strike/>
          <w:color w:val="000000"/>
          <w:lang w:eastAsia="pt-BR"/>
        </w:rPr>
        <w:t>º</w:t>
      </w:r>
      <w:r w:rsidRPr="00DF7F46">
        <w:rPr>
          <w:rFonts w:ascii="Arial" w:eastAsia="Times New Roman" w:hAnsi="Arial" w:cs="Arial"/>
          <w:color w:val="000000"/>
          <w:lang w:eastAsia="pt-BR"/>
        </w:rPr>
        <w:t xml:space="preserve"> 159 SOBRE AS RELAÇÕES DE TRABALHO NA ADMINISTRAÇÃO PÚBLICA, 1978</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 Conferência Geral da Organização Internacional do Trabalho,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Convocada em Genebra pelo Conselho de Administração da Repartição Internacional do Trabalho, reunida naquela cidade em 7 de junho de 1978 em sua sexagésima quarta reunião;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Após ter decidido adotar diversas proposições relativas à liberdade sindical e procedimentos para determinar a liberdade sindical e procedimentos para determinar as condições de emprego na Administração Pública, questão que constitui o quinto ponto da ordem do dia da reunião, e</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Após ter decidido que tais proposições se revistam da forma de uma recomendação que complete a Convenção sobre as relações de trabalho na administração pública, 1978, adota, com data vinte e sete de junho de mil e novecentos e setenta e oito, a presente Recomendação, que poderá ser citada como a Recomendação sobre as Relações de Trabalho na Administração Pública, 1978:</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1. </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Nos países em que existam procedimentos para o reconhecimento das organizações de trabalhadores da Administração Pública com vistas a determinar as organizações às quais são atribuídos direitos preferenciais ou exclusivos aos efeitos previstos nas Partes III, IV e V da Convenção sobre as Relações de Trabalho na Administração Pública, 1978, tal determinação deveria basear-se em critérios objetivos e pré-estabelecidos respeito do caráter representativo dessas organizações.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2) Os procedimentos referidos na alínea 1) do presente Parágrafo deveriam ser de tal natureza que não estimulem a proliferação de organizações que cubram as mesmas categorias de trabalhadores da Administração Pública. </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2. </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1) Em caso de negociação das condições de trabalho de conformidade com a Parte IV da Convenção sobre as Relações de Trabalho na Administração Pública, 1978, os indivíduos ou órgãos competentes para negociar em nome da autoridade pública, e os procedimentos para pôr em prática as condições de trabalho estabelecidas, deveriam ser previstos pela legislação nacional ou por outros meios apropriados.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 xml:space="preserve">2) No caso em que outros mecanismos que não a negociação forem utilizados para permitir aos representantes dos trabalhadores da Administração Pública participar na fixação das </w:t>
      </w:r>
      <w:r w:rsidRPr="00DF7F46">
        <w:rPr>
          <w:rFonts w:ascii="Arial" w:eastAsia="Times New Roman" w:hAnsi="Arial" w:cs="Arial"/>
          <w:color w:val="000000"/>
          <w:lang w:eastAsia="pt-BR"/>
        </w:rPr>
        <w:lastRenderedPageBreak/>
        <w:t>condições de trabalho, o procedimento para assegurar essa participação e para determinar de maneira definitiva tais condições deveria ser previsto pela legislação nacional ou por outros meios apropriados.</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3. Ao se concluir um acordo entre a autoridade pública e uma organização de trabalhadores da Administração Pública, em conformidade com o Parágrafo 2, alínea 1), da presente Recomendação, seu período de vigência e/ou seu procedimento de término, renovação ou revisão deve ser especificado.</w:t>
      </w:r>
    </w:p>
    <w:p w:rsidR="00DF7F46" w:rsidRPr="00DF7F46" w:rsidRDefault="00DF7F46" w:rsidP="00DF7F46">
      <w:pPr>
        <w:spacing w:before="300" w:after="300"/>
        <w:ind w:firstLine="567"/>
        <w:jc w:val="both"/>
        <w:rPr>
          <w:rFonts w:eastAsia="Times New Roman"/>
          <w:sz w:val="24"/>
          <w:szCs w:val="24"/>
          <w:lang w:eastAsia="pt-BR"/>
        </w:rPr>
      </w:pPr>
      <w:r w:rsidRPr="00DF7F46">
        <w:rPr>
          <w:rFonts w:ascii="Arial" w:eastAsia="Times New Roman" w:hAnsi="Arial" w:cs="Arial"/>
          <w:color w:val="000000"/>
          <w:lang w:eastAsia="pt-BR"/>
        </w:rPr>
        <w:t>4. Ao determinar a natureza e alcance das garantias que deveriam ser concedidas aos representantes das organizações de trabalhadores da Administração Pública, em conformidade com o Artigo 6, Parágrafo 3, da Convenção sobre as Relações de Trabalho na Administração Pública, 1978, deveria considerar-se a Recomendação sobre os Representantes dos Trabalhadores, 1971.</w:t>
      </w:r>
    </w:p>
    <w:p w:rsidR="00F25548" w:rsidRDefault="00F25548"/>
    <w:sectPr w:rsidR="00F255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46"/>
    <w:rsid w:val="004722D4"/>
    <w:rsid w:val="00DF7F46"/>
    <w:rsid w:val="00F25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1CB92-E828-41AE-931E-F39E1C15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2D4"/>
  </w:style>
  <w:style w:type="paragraph" w:styleId="Ttulo1">
    <w:name w:val="heading 1"/>
    <w:basedOn w:val="Normal"/>
    <w:next w:val="Normal"/>
    <w:link w:val="Ttulo1Char"/>
    <w:qFormat/>
    <w:rsid w:val="004722D4"/>
    <w:pPr>
      <w:keepNext/>
      <w:spacing w:after="120"/>
      <w:jc w:val="both"/>
      <w:outlineLvl w:val="0"/>
    </w:pPr>
    <w:rPr>
      <w:rFonts w:ascii="Albertus Medium" w:eastAsia="Times New Roman" w:hAnsi="Albertus Medium"/>
      <w:b/>
    </w:rPr>
  </w:style>
  <w:style w:type="paragraph" w:styleId="Ttulo3">
    <w:name w:val="heading 3"/>
    <w:basedOn w:val="Normal"/>
    <w:next w:val="Normal"/>
    <w:link w:val="Ttulo3Char"/>
    <w:qFormat/>
    <w:rsid w:val="004722D4"/>
    <w:pPr>
      <w:keepNext/>
      <w:spacing w:after="120"/>
      <w:jc w:val="right"/>
      <w:outlineLvl w:val="2"/>
    </w:pPr>
    <w:rPr>
      <w:rFonts w:eastAsia="Times New Roman"/>
      <w:b/>
      <w:i/>
      <w:sz w:val="22"/>
    </w:rPr>
  </w:style>
  <w:style w:type="character" w:default="1" w:styleId="Fontepargpadro">
    <w:name w:val="Default Paragraph Font"/>
    <w:uiPriority w:val="1"/>
    <w:semiHidden/>
    <w:unhideWhenUsed/>
    <w:rsid w:val="004722D4"/>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rsid w:val="004722D4"/>
  </w:style>
  <w:style w:type="character" w:styleId="Refdenotaderodap">
    <w:name w:val="footnote reference"/>
    <w:basedOn w:val="Fontepargpadro"/>
    <w:semiHidden/>
    <w:qFormat/>
    <w:rsid w:val="004722D4"/>
    <w:rPr>
      <w:rFonts w:ascii="Calibri" w:hAnsi="Calibri"/>
      <w:dstrike w:val="0"/>
      <w:color w:val="auto"/>
      <w:sz w:val="18"/>
      <w:vertAlign w:val="superscript"/>
    </w:rPr>
  </w:style>
  <w:style w:type="character" w:customStyle="1" w:styleId="Ttulo1Char">
    <w:name w:val="Título 1 Char"/>
    <w:basedOn w:val="Fontepargpadro"/>
    <w:link w:val="Ttulo1"/>
    <w:rsid w:val="004722D4"/>
    <w:rPr>
      <w:rFonts w:ascii="Albertus Medium" w:eastAsia="Times New Roman" w:hAnsi="Albertus Medium" w:cs="Times New Roman"/>
      <w:b/>
      <w:sz w:val="24"/>
      <w:szCs w:val="20"/>
      <w:lang w:eastAsia="pt-BR"/>
    </w:rPr>
  </w:style>
  <w:style w:type="character" w:customStyle="1" w:styleId="Ttulo3Char">
    <w:name w:val="Título 3 Char"/>
    <w:basedOn w:val="Fontepargpadro"/>
    <w:link w:val="Ttulo3"/>
    <w:rsid w:val="004722D4"/>
    <w:rPr>
      <w:rFonts w:ascii="Times New Roman" w:eastAsia="Times New Roman" w:hAnsi="Times New Roman" w:cs="Times New Roman"/>
      <w:b/>
      <w:i/>
      <w:szCs w:val="20"/>
      <w:lang w:eastAsia="pt-BR"/>
    </w:rPr>
  </w:style>
  <w:style w:type="paragraph" w:styleId="Textodenotaderodap">
    <w:name w:val="footnote text"/>
    <w:basedOn w:val="Normal"/>
    <w:link w:val="TextodenotaderodapChar"/>
    <w:autoRedefine/>
    <w:semiHidden/>
    <w:rsid w:val="004722D4"/>
    <w:pPr>
      <w:tabs>
        <w:tab w:val="left" w:pos="567"/>
        <w:tab w:val="left" w:pos="1134"/>
      </w:tabs>
      <w:suppressAutoHyphens/>
      <w:spacing w:after="120"/>
      <w:jc w:val="both"/>
    </w:pPr>
    <w:rPr>
      <w:rFonts w:asciiTheme="minorHAnsi" w:eastAsia="Times New Roman" w:hAnsiTheme="minorHAnsi"/>
      <w:sz w:val="18"/>
      <w:lang w:val="pt-PT" w:eastAsia="pt-BR"/>
    </w:rPr>
  </w:style>
  <w:style w:type="character" w:customStyle="1" w:styleId="TextodenotaderodapChar">
    <w:name w:val="Texto de nota de rodapé Char"/>
    <w:basedOn w:val="Fontepargpadro"/>
    <w:link w:val="Textodenotaderodap"/>
    <w:semiHidden/>
    <w:rsid w:val="004722D4"/>
    <w:rPr>
      <w:rFonts w:asciiTheme="minorHAnsi" w:eastAsia="Times New Roman" w:hAnsiTheme="minorHAnsi"/>
      <w:sz w:val="18"/>
      <w:lang w:val="pt-PT" w:eastAsia="pt-BR"/>
    </w:rPr>
  </w:style>
  <w:style w:type="paragraph" w:styleId="Cabealho">
    <w:name w:val="header"/>
    <w:basedOn w:val="Normal"/>
    <w:link w:val="CabealhoChar"/>
    <w:semiHidden/>
    <w:rsid w:val="004722D4"/>
    <w:pPr>
      <w:tabs>
        <w:tab w:val="center" w:pos="4252"/>
        <w:tab w:val="right" w:pos="8504"/>
      </w:tabs>
    </w:pPr>
    <w:rPr>
      <w:rFonts w:eastAsia="Times New Roman"/>
    </w:rPr>
  </w:style>
  <w:style w:type="character" w:customStyle="1" w:styleId="CabealhoChar">
    <w:name w:val="Cabeçalho Char"/>
    <w:basedOn w:val="Fontepargpadro"/>
    <w:link w:val="Cabealho"/>
    <w:semiHidden/>
    <w:rsid w:val="004722D4"/>
    <w:rPr>
      <w:rFonts w:ascii="Arial" w:eastAsia="Times New Roman" w:hAnsi="Arial" w:cs="Times New Roman"/>
      <w:sz w:val="24"/>
      <w:szCs w:val="20"/>
      <w:lang w:eastAsia="pt-BR"/>
    </w:rPr>
  </w:style>
  <w:style w:type="paragraph" w:styleId="Rodap">
    <w:name w:val="footer"/>
    <w:basedOn w:val="Normal"/>
    <w:link w:val="RodapChar"/>
    <w:semiHidden/>
    <w:rsid w:val="004722D4"/>
    <w:pPr>
      <w:tabs>
        <w:tab w:val="left" w:pos="567"/>
        <w:tab w:val="left" w:pos="1134"/>
        <w:tab w:val="left" w:pos="1418"/>
        <w:tab w:val="center" w:pos="4419"/>
        <w:tab w:val="right" w:pos="8838"/>
      </w:tabs>
      <w:suppressAutoHyphens/>
      <w:spacing w:after="120"/>
      <w:ind w:firstLine="567"/>
      <w:jc w:val="both"/>
    </w:pPr>
    <w:rPr>
      <w:rFonts w:ascii="Garamond" w:eastAsia="Times New Roman" w:hAnsi="Garamond"/>
      <w:b/>
      <w:sz w:val="26"/>
    </w:rPr>
  </w:style>
  <w:style w:type="character" w:customStyle="1" w:styleId="RodapChar">
    <w:name w:val="Rodapé Char"/>
    <w:basedOn w:val="Fontepargpadro"/>
    <w:link w:val="Rodap"/>
    <w:semiHidden/>
    <w:rsid w:val="004722D4"/>
    <w:rPr>
      <w:rFonts w:ascii="Garamond" w:eastAsia="Times New Roman" w:hAnsi="Garamond" w:cs="Times New Roman"/>
      <w:b/>
      <w:sz w:val="26"/>
      <w:szCs w:val="20"/>
      <w:lang w:eastAsia="pt-BR"/>
    </w:rPr>
  </w:style>
  <w:style w:type="character" w:styleId="Nmerodepgina">
    <w:name w:val="page number"/>
    <w:basedOn w:val="Fontepargpadro"/>
    <w:semiHidden/>
    <w:rsid w:val="004722D4"/>
  </w:style>
  <w:style w:type="paragraph" w:styleId="Recuodecorpodetexto">
    <w:name w:val="Body Text Indent"/>
    <w:basedOn w:val="Normal"/>
    <w:link w:val="RecuodecorpodetextoChar"/>
    <w:semiHidden/>
    <w:rsid w:val="004722D4"/>
    <w:pPr>
      <w:spacing w:after="120"/>
      <w:ind w:firstLine="567"/>
      <w:jc w:val="both"/>
    </w:pPr>
    <w:rPr>
      <w:rFonts w:ascii="Garamond" w:eastAsia="Times New Roman" w:hAnsi="Garamond"/>
      <w:sz w:val="26"/>
    </w:rPr>
  </w:style>
  <w:style w:type="character" w:customStyle="1" w:styleId="RecuodecorpodetextoChar">
    <w:name w:val="Recuo de corpo de texto Char"/>
    <w:basedOn w:val="Fontepargpadro"/>
    <w:link w:val="Recuodecorpodetexto"/>
    <w:semiHidden/>
    <w:rsid w:val="004722D4"/>
    <w:rPr>
      <w:rFonts w:ascii="Garamond" w:eastAsia="Times New Roman" w:hAnsi="Garamond" w:cs="Times New Roman"/>
      <w:sz w:val="26"/>
      <w:szCs w:val="20"/>
      <w:lang w:eastAsia="pt-BR"/>
    </w:rPr>
  </w:style>
  <w:style w:type="paragraph" w:styleId="Recuodecorpodetexto2">
    <w:name w:val="Body Text Indent 2"/>
    <w:basedOn w:val="Normal"/>
    <w:link w:val="Recuodecorpodetexto2Char"/>
    <w:semiHidden/>
    <w:rsid w:val="004722D4"/>
    <w:pPr>
      <w:spacing w:after="120"/>
      <w:ind w:left="1416"/>
      <w:jc w:val="both"/>
    </w:pPr>
    <w:rPr>
      <w:rFonts w:eastAsia="Times New Roman"/>
    </w:rPr>
  </w:style>
  <w:style w:type="character" w:customStyle="1" w:styleId="Recuodecorpodetexto2Char">
    <w:name w:val="Recuo de corpo de texto 2 Char"/>
    <w:basedOn w:val="Fontepargpadro"/>
    <w:link w:val="Recuodecorpodetexto2"/>
    <w:semiHidden/>
    <w:rsid w:val="004722D4"/>
    <w:rPr>
      <w:rFonts w:ascii="Arial" w:eastAsia="Times New Roman" w:hAnsi="Arial" w:cs="Times New Roman"/>
      <w:sz w:val="20"/>
      <w:szCs w:val="20"/>
      <w:lang w:eastAsia="pt-BR"/>
    </w:rPr>
  </w:style>
  <w:style w:type="paragraph" w:styleId="Recuodecorpodetexto3">
    <w:name w:val="Body Text Indent 3"/>
    <w:basedOn w:val="Normal"/>
    <w:link w:val="Recuodecorpodetexto3Char"/>
    <w:semiHidden/>
    <w:rsid w:val="004722D4"/>
    <w:pPr>
      <w:spacing w:after="120"/>
      <w:ind w:firstLine="567"/>
      <w:jc w:val="both"/>
    </w:pPr>
    <w:rPr>
      <w:rFonts w:ascii="Albertus Medium" w:eastAsia="Times New Roman" w:hAnsi="Albertus Medium"/>
    </w:rPr>
  </w:style>
  <w:style w:type="character" w:customStyle="1" w:styleId="Recuodecorpodetexto3Char">
    <w:name w:val="Recuo de corpo de texto 3 Char"/>
    <w:basedOn w:val="Fontepargpadro"/>
    <w:link w:val="Recuodecorpodetexto3"/>
    <w:semiHidden/>
    <w:rsid w:val="004722D4"/>
    <w:rPr>
      <w:rFonts w:ascii="Albertus Medium" w:eastAsia="Times New Roman" w:hAnsi="Albertus Medium" w:cs="Times New Roman"/>
      <w:sz w:val="24"/>
      <w:szCs w:val="20"/>
      <w:lang w:eastAsia="pt-BR"/>
    </w:rPr>
  </w:style>
  <w:style w:type="paragraph" w:styleId="Textoembloco">
    <w:name w:val="Block Text"/>
    <w:basedOn w:val="Normal"/>
    <w:semiHidden/>
    <w:rsid w:val="004722D4"/>
    <w:pPr>
      <w:tabs>
        <w:tab w:val="left" w:pos="1418"/>
      </w:tabs>
      <w:spacing w:after="120"/>
      <w:ind w:left="567" w:right="567"/>
      <w:jc w:val="center"/>
    </w:pPr>
    <w:rPr>
      <w:rFonts w:ascii="Garamond" w:eastAsia="Times New Roman" w:hAnsi="Garamond"/>
    </w:rPr>
  </w:style>
  <w:style w:type="character" w:styleId="Hyperlink">
    <w:name w:val="Hyperlink"/>
    <w:basedOn w:val="Fontepargpadro"/>
    <w:uiPriority w:val="99"/>
    <w:semiHidden/>
    <w:rsid w:val="004722D4"/>
    <w:rPr>
      <w:color w:val="0000FF"/>
      <w:u w:val="single"/>
    </w:rPr>
  </w:style>
  <w:style w:type="paragraph" w:styleId="NormalWeb">
    <w:name w:val="Normal (Web)"/>
    <w:basedOn w:val="Normal"/>
    <w:uiPriority w:val="99"/>
    <w:unhideWhenUsed/>
    <w:rsid w:val="004722D4"/>
    <w:pPr>
      <w:spacing w:before="100" w:beforeAutospacing="1" w:after="100" w:afterAutospacing="1"/>
    </w:pPr>
    <w:rPr>
      <w:rFonts w:eastAsia="Times New Roman"/>
      <w:szCs w:val="24"/>
    </w:rPr>
  </w:style>
  <w:style w:type="character" w:styleId="Forte">
    <w:name w:val="Strong"/>
    <w:basedOn w:val="Fontepargpadro"/>
    <w:uiPriority w:val="22"/>
    <w:qFormat/>
    <w:rsid w:val="00DF7F46"/>
    <w:rPr>
      <w:b/>
      <w:bCs/>
    </w:rPr>
  </w:style>
  <w:style w:type="paragraph" w:customStyle="1" w:styleId="textoprformatado">
    <w:name w:val="textoprformatado"/>
    <w:basedOn w:val="Normal"/>
    <w:rsid w:val="00DF7F46"/>
    <w:pPr>
      <w:spacing w:before="100" w:beforeAutospacing="1" w:after="100" w:afterAutospacing="1"/>
    </w:pPr>
    <w:rPr>
      <w:rFonts w:eastAsia="Times New Roman"/>
      <w:sz w:val="24"/>
      <w:szCs w:val="24"/>
      <w:lang w:eastAsia="pt-BR"/>
    </w:rPr>
  </w:style>
  <w:style w:type="paragraph" w:styleId="Corpodetexto">
    <w:name w:val="Body Text"/>
    <w:basedOn w:val="Normal"/>
    <w:link w:val="CorpodetextoChar"/>
    <w:uiPriority w:val="99"/>
    <w:semiHidden/>
    <w:unhideWhenUsed/>
    <w:rsid w:val="00DF7F46"/>
    <w:pPr>
      <w:spacing w:before="100" w:beforeAutospacing="1" w:after="100" w:afterAutospacing="1"/>
    </w:pPr>
    <w:rPr>
      <w:rFonts w:eastAsia="Times New Roman"/>
      <w:sz w:val="24"/>
      <w:szCs w:val="24"/>
      <w:lang w:eastAsia="pt-BR"/>
    </w:rPr>
  </w:style>
  <w:style w:type="character" w:customStyle="1" w:styleId="CorpodetextoChar">
    <w:name w:val="Corpo de texto Char"/>
    <w:basedOn w:val="Fontepargpadro"/>
    <w:link w:val="Corpodetexto"/>
    <w:uiPriority w:val="99"/>
    <w:semiHidden/>
    <w:rsid w:val="00DF7F46"/>
    <w:rPr>
      <w:rFonts w:eastAsia="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09417">
      <w:bodyDiv w:val="1"/>
      <w:marLeft w:val="0"/>
      <w:marRight w:val="0"/>
      <w:marTop w:val="0"/>
      <w:marBottom w:val="0"/>
      <w:divBdr>
        <w:top w:val="none" w:sz="0" w:space="0" w:color="auto"/>
        <w:left w:val="none" w:sz="0" w:space="0" w:color="auto"/>
        <w:bottom w:val="none" w:sz="0" w:space="0" w:color="auto"/>
        <w:right w:val="none" w:sz="0" w:space="0" w:color="auto"/>
      </w:divBdr>
      <w:divsChild>
        <w:div w:id="68892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webSettings" Target="webSettings.xml"/><Relationship Id="rId7" Type="http://schemas.openxmlformats.org/officeDocument/2006/relationships/hyperlink" Target="http://www.planalto.gov.br/ccivil_03/LEIS/L8112con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Decreto-Lei/Del5452.htm" TargetMode="External"/><Relationship Id="rId11" Type="http://schemas.openxmlformats.org/officeDocument/2006/relationships/theme" Target="theme/theme1.xml"/><Relationship Id="rId5" Type="http://schemas.openxmlformats.org/officeDocument/2006/relationships/hyperlink" Target="http://legislacao.planalto.gov.br/legisla/legislacao.nsf/Viw_Identificacao/DEC%207.944-2013?OpenDocument"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2693</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GÉRSON</dc:creator>
  <cp:keywords/>
  <dc:description/>
  <cp:lastModifiedBy>GÉRSON</cp:lastModifiedBy>
  <cp:revision>1</cp:revision>
  <dcterms:created xsi:type="dcterms:W3CDTF">2015-03-14T06:16:00Z</dcterms:created>
  <dcterms:modified xsi:type="dcterms:W3CDTF">2015-03-14T06:17:00Z</dcterms:modified>
</cp:coreProperties>
</file>